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82" w:rsidRPr="0013361A" w:rsidRDefault="00AF0DB4" w:rsidP="000D7751">
      <w:pPr>
        <w:numPr>
          <w:ilvl w:val="0"/>
          <w:numId w:val="2"/>
        </w:numPr>
        <w:spacing w:after="0"/>
        <w:jc w:val="both"/>
        <w:rPr>
          <w:rFonts w:ascii="Times New Roman" w:hAnsi="Times New Roman"/>
          <w:b/>
          <w:sz w:val="24"/>
          <w:szCs w:val="24"/>
        </w:rPr>
      </w:pPr>
      <w:r>
        <w:rPr>
          <w:rFonts w:ascii="Times New Roman" w:hAnsi="Times New Roman"/>
          <w:b/>
          <w:sz w:val="24"/>
          <w:szCs w:val="24"/>
        </w:rPr>
        <w:t>“</w:t>
      </w:r>
      <w:r w:rsidR="000A7382" w:rsidRPr="0013361A">
        <w:rPr>
          <w:rFonts w:ascii="Times New Roman" w:hAnsi="Times New Roman"/>
          <w:b/>
          <w:sz w:val="24"/>
          <w:szCs w:val="24"/>
        </w:rPr>
        <w:t>Vekalet Durumu</w:t>
      </w:r>
    </w:p>
    <w:p w:rsidR="000A7382" w:rsidRPr="0018335D" w:rsidRDefault="00CB55FD" w:rsidP="00CB55FD">
      <w:pPr>
        <w:ind w:left="709" w:right="1"/>
        <w:jc w:val="both"/>
        <w:rPr>
          <w:rFonts w:ascii="Times New Roman" w:hAnsi="Times New Roman"/>
        </w:rPr>
      </w:pPr>
      <w:r>
        <w:rPr>
          <w:rFonts w:ascii="Times New Roman" w:hAnsi="Times New Roman"/>
          <w:sz w:val="24"/>
          <w:szCs w:val="24"/>
        </w:rPr>
        <w:t xml:space="preserve">Yönetim Kurulu Üyelerinin vekaleti yoktur. Üyeliğin düşmesi halinde ilk sıradaki yedek </w:t>
      </w:r>
      <w:r w:rsidRPr="0018335D">
        <w:rPr>
          <w:rFonts w:ascii="Times New Roman" w:hAnsi="Times New Roman"/>
        </w:rPr>
        <w:t xml:space="preserve">üyelerden biri göreve davet edilir.  </w:t>
      </w:r>
    </w:p>
    <w:p w:rsidR="000A7382" w:rsidRPr="0018335D" w:rsidRDefault="000A7382" w:rsidP="000D7751">
      <w:pPr>
        <w:numPr>
          <w:ilvl w:val="0"/>
          <w:numId w:val="2"/>
        </w:numPr>
        <w:spacing w:after="0"/>
        <w:ind w:right="1"/>
        <w:jc w:val="both"/>
        <w:rPr>
          <w:rFonts w:ascii="Times New Roman" w:hAnsi="Times New Roman"/>
          <w:b/>
        </w:rPr>
      </w:pPr>
      <w:r w:rsidRPr="0018335D">
        <w:rPr>
          <w:rFonts w:ascii="Times New Roman" w:hAnsi="Times New Roman"/>
          <w:b/>
        </w:rPr>
        <w:t>Sorumluluk ve Yetki</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Mevzuat ve meclis kararları çerçevesinde oda işlerini yürütmek.</w:t>
      </w:r>
    </w:p>
    <w:p w:rsidR="0018335D" w:rsidRPr="0018335D" w:rsidRDefault="0018335D" w:rsidP="0018335D">
      <w:pPr>
        <w:numPr>
          <w:ilvl w:val="0"/>
          <w:numId w:val="13"/>
        </w:numPr>
        <w:ind w:left="993" w:hanging="284"/>
        <w:jc w:val="both"/>
        <w:rPr>
          <w:rFonts w:ascii="Times New Roman" w:hAnsi="Times New Roman"/>
          <w:b/>
        </w:rPr>
      </w:pPr>
      <w:r w:rsidRPr="0018335D">
        <w:rPr>
          <w:rFonts w:ascii="Times New Roman" w:hAnsi="Times New Roman"/>
        </w:rPr>
        <w:t>Bütçeyi, kesin hesabı ve aktarma tekliflerini ve bunlara ilişkin raporları oda meclisine sunmak.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Aylık hesap raporunu oda meclisinin incelemesi ve onayına sunmak.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Oda personelinin işe alınmalarına ve görevlerine son verilmesine, yükselme ve nakillerine karar vermek.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Disiplin kurulunun soruşturma yapmasına karar vermek, bu Kanun uyarınca verilen disiplin ve para cezalarının uygulanmasını sağlamak.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Hakem, bilirkişi ve eksper listelerini hazırlamak ve onaylanmak üzere meclise sunmak.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Bu Kanunda ve ilgili mevzuatta öngörülen belgeleri tasdik etmek.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Odanın bir yıl içindeki faaliyeti ve bölgesinin iktisadî ve sınaî durumu hakkında yıllık rapor hazırlayıp meclise sunmak.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Hazırladığı oda İç Yönerge’sini meclise sunmak.</w:t>
      </w:r>
    </w:p>
    <w:p w:rsidR="0018335D" w:rsidRPr="0018335D" w:rsidRDefault="0018335D" w:rsidP="0018335D">
      <w:pPr>
        <w:numPr>
          <w:ilvl w:val="0"/>
          <w:numId w:val="13"/>
        </w:numPr>
        <w:ind w:left="993" w:hanging="284"/>
        <w:jc w:val="both"/>
        <w:rPr>
          <w:rFonts w:ascii="Times New Roman" w:hAnsi="Times New Roman"/>
          <w:b/>
        </w:rPr>
      </w:pPr>
      <w:r w:rsidRPr="0018335D">
        <w:rPr>
          <w:rFonts w:ascii="Times New Roman" w:hAnsi="Times New Roman"/>
        </w:rPr>
        <w:t>Ticaret ve sanayiye ait her türlü incelemeyi yapmak, çalışma alanı içindeki ticarî ve sınaî faaliyetlere ait endeks ve istatistikleri tutmak ve meclisçe belirlenen maddelerin piyasa fiyatlarını takip ve kaydetmek ve bunları uygun vasıtalarla ilân etmek.</w:t>
      </w:r>
      <w:r w:rsidRPr="0018335D">
        <w:rPr>
          <w:rFonts w:ascii="Times New Roman" w:hAnsi="Times New Roman"/>
          <w:b/>
        </w:rPr>
        <w:tab/>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Oda personelinin disiplin işlerini bu Kanunda ve ilgili mevzuatta öngörülen esas ve usuller çerçevesinde karara bağlamak.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Yüksek düzeyde vergi ödeyen, ihracat yapan, teknoloji geliştiren üyelerini ödüllendirmek.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 xml:space="preserve">Bütçede karşılığı bulunması kaydıyla sosyal faaliyetleri desteklemek ve özendirmek, bağış ve yardımlarda bulunmak, burs vermek, meclis onayı ile okul ve derslik yapmak. </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Hakem veya hakem heyeti seçmek.</w:t>
      </w:r>
    </w:p>
    <w:p w:rsidR="0018335D" w:rsidRPr="0018335D" w:rsidRDefault="0018335D" w:rsidP="0018335D">
      <w:pPr>
        <w:numPr>
          <w:ilvl w:val="0"/>
          <w:numId w:val="13"/>
        </w:numPr>
        <w:ind w:left="993" w:hanging="284"/>
        <w:jc w:val="both"/>
        <w:rPr>
          <w:rFonts w:ascii="Times New Roman" w:hAnsi="Times New Roman"/>
        </w:rPr>
      </w:pPr>
      <w:r w:rsidRPr="0018335D">
        <w:rPr>
          <w:rFonts w:ascii="Times New Roman" w:hAnsi="Times New Roman"/>
        </w:rPr>
        <w:t>Bu Kanunla ve sair mevzuatla odalara verilen ve özel olarak başka bir organa bırakılmayan diğer görevleri yerine getirmek.</w:t>
      </w:r>
    </w:p>
    <w:p w:rsidR="000D7751" w:rsidRPr="0018335D" w:rsidRDefault="000D7751" w:rsidP="000D7751">
      <w:pPr>
        <w:tabs>
          <w:tab w:val="num" w:pos="1134"/>
        </w:tabs>
        <w:spacing w:after="0"/>
        <w:ind w:left="993" w:right="142"/>
        <w:jc w:val="both"/>
        <w:rPr>
          <w:rFonts w:ascii="Times New Roman" w:hAnsi="Times New Roman"/>
        </w:rPr>
      </w:pPr>
    </w:p>
    <w:p w:rsidR="000D7751" w:rsidRPr="0018335D" w:rsidRDefault="000D7751" w:rsidP="00662392">
      <w:pPr>
        <w:tabs>
          <w:tab w:val="left" w:pos="-180"/>
          <w:tab w:val="num" w:pos="993"/>
        </w:tabs>
        <w:spacing w:after="0" w:line="240" w:lineRule="auto"/>
        <w:ind w:left="993" w:right="142"/>
        <w:jc w:val="both"/>
        <w:rPr>
          <w:rFonts w:ascii="Times New Roman" w:hAnsi="Times New Roman"/>
        </w:rPr>
      </w:pPr>
      <w:r w:rsidRPr="0018335D">
        <w:rPr>
          <w:rFonts w:ascii="Times New Roman" w:hAnsi="Times New Roman"/>
          <w:b/>
        </w:rPr>
        <w:lastRenderedPageBreak/>
        <w:t>Not:</w:t>
      </w:r>
      <w:r w:rsidRPr="0018335D">
        <w:rPr>
          <w:rFonts w:ascii="Times New Roman" w:hAnsi="Times New Roman"/>
        </w:rPr>
        <w:t xml:space="preserve"> Yetki ve Sorumluluklar başlığındaki yasal dayanaklar söz konusu yasal şartların değişmesi ile birlikte otomatik olarak değişmiş sayılacaktır. </w:t>
      </w:r>
    </w:p>
    <w:p w:rsidR="000D7751" w:rsidRPr="0018335D" w:rsidRDefault="000D7751" w:rsidP="00662392">
      <w:pPr>
        <w:tabs>
          <w:tab w:val="left" w:pos="-180"/>
          <w:tab w:val="num" w:pos="993"/>
        </w:tabs>
        <w:spacing w:line="240" w:lineRule="auto"/>
        <w:ind w:left="993" w:right="142" w:hanging="284"/>
        <w:jc w:val="both"/>
        <w:rPr>
          <w:rFonts w:ascii="Times New Roman" w:hAnsi="Times New Roman"/>
        </w:rPr>
      </w:pPr>
      <w:r w:rsidRPr="0018335D">
        <w:rPr>
          <w:rFonts w:ascii="Times New Roman" w:hAnsi="Times New Roman"/>
        </w:rPr>
        <w:tab/>
        <w:t xml:space="preserve">Yasal değişikliklerin izlenmesi ve ilgili birimlere zamanında bildirilmesinden Genel Sekreter sorumludur.  </w:t>
      </w:r>
    </w:p>
    <w:p w:rsidR="000D7751" w:rsidRPr="0018335D" w:rsidRDefault="000D7751" w:rsidP="000D7751">
      <w:pPr>
        <w:tabs>
          <w:tab w:val="num" w:pos="709"/>
        </w:tabs>
        <w:spacing w:after="0"/>
        <w:ind w:left="709" w:right="142" w:hanging="425"/>
        <w:jc w:val="both"/>
        <w:rPr>
          <w:rFonts w:ascii="Times New Roman" w:hAnsi="Times New Roman"/>
          <w:b/>
        </w:rPr>
      </w:pPr>
      <w:r w:rsidRPr="0018335D">
        <w:rPr>
          <w:rFonts w:ascii="Times New Roman" w:hAnsi="Times New Roman"/>
          <w:b/>
        </w:rPr>
        <w:t xml:space="preserve">3. Üst-Ast İlişkileri: </w:t>
      </w:r>
    </w:p>
    <w:p w:rsidR="000D7751" w:rsidRPr="0018335D" w:rsidRDefault="00554D75" w:rsidP="000D7751">
      <w:pPr>
        <w:numPr>
          <w:ilvl w:val="0"/>
          <w:numId w:val="7"/>
        </w:numPr>
        <w:tabs>
          <w:tab w:val="clear" w:pos="0"/>
          <w:tab w:val="num" w:pos="1134"/>
        </w:tabs>
        <w:spacing w:after="0" w:line="240" w:lineRule="auto"/>
        <w:ind w:left="993" w:right="142" w:hanging="284"/>
        <w:jc w:val="both"/>
        <w:rPr>
          <w:rFonts w:ascii="Times New Roman" w:hAnsi="Times New Roman"/>
        </w:rPr>
      </w:pPr>
      <w:r w:rsidRPr="0018335D">
        <w:rPr>
          <w:rFonts w:ascii="Times New Roman" w:hAnsi="Times New Roman"/>
        </w:rPr>
        <w:t>Oda</w:t>
      </w:r>
      <w:r w:rsidR="000D7751" w:rsidRPr="0018335D">
        <w:rPr>
          <w:rFonts w:ascii="Times New Roman" w:hAnsi="Times New Roman"/>
        </w:rPr>
        <w:t xml:space="preserve"> Meclisine Bağlıdır</w:t>
      </w:r>
    </w:p>
    <w:p w:rsidR="000D7751" w:rsidRPr="0018335D" w:rsidRDefault="000D7751" w:rsidP="000D7751">
      <w:pPr>
        <w:numPr>
          <w:ilvl w:val="0"/>
          <w:numId w:val="7"/>
        </w:numPr>
        <w:tabs>
          <w:tab w:val="clear" w:pos="0"/>
          <w:tab w:val="num" w:pos="1134"/>
        </w:tabs>
        <w:spacing w:after="0" w:line="240" w:lineRule="auto"/>
        <w:ind w:left="993" w:right="142" w:hanging="284"/>
        <w:jc w:val="both"/>
        <w:rPr>
          <w:rFonts w:ascii="Times New Roman" w:hAnsi="Times New Roman"/>
        </w:rPr>
      </w:pPr>
      <w:r w:rsidRPr="0018335D">
        <w:rPr>
          <w:rFonts w:ascii="Times New Roman" w:hAnsi="Times New Roman"/>
        </w:rPr>
        <w:t xml:space="preserve">Diğer tüm </w:t>
      </w:r>
      <w:r w:rsidR="00662392" w:rsidRPr="0018335D">
        <w:rPr>
          <w:rFonts w:ascii="Times New Roman" w:hAnsi="Times New Roman"/>
        </w:rPr>
        <w:t xml:space="preserve">hizmet </w:t>
      </w:r>
      <w:r w:rsidRPr="0018335D">
        <w:rPr>
          <w:rFonts w:ascii="Times New Roman" w:hAnsi="Times New Roman"/>
        </w:rPr>
        <w:t>birimlerin</w:t>
      </w:r>
      <w:r w:rsidR="00662392" w:rsidRPr="0018335D">
        <w:rPr>
          <w:rFonts w:ascii="Times New Roman" w:hAnsi="Times New Roman"/>
        </w:rPr>
        <w:t>in</w:t>
      </w:r>
      <w:r w:rsidRPr="0018335D">
        <w:rPr>
          <w:rFonts w:ascii="Times New Roman" w:hAnsi="Times New Roman"/>
        </w:rPr>
        <w:t xml:space="preserve"> üstüdür.</w:t>
      </w:r>
    </w:p>
    <w:p w:rsidR="000D7751" w:rsidRPr="0018335D" w:rsidRDefault="000D7751" w:rsidP="000D7751">
      <w:pPr>
        <w:tabs>
          <w:tab w:val="num" w:pos="1134"/>
        </w:tabs>
        <w:spacing w:after="0"/>
        <w:ind w:left="993" w:right="142" w:hanging="284"/>
        <w:jc w:val="both"/>
        <w:rPr>
          <w:rFonts w:ascii="Times New Roman" w:hAnsi="Times New Roman"/>
        </w:rPr>
      </w:pPr>
    </w:p>
    <w:p w:rsidR="000D7751" w:rsidRPr="0018335D" w:rsidRDefault="000D7751" w:rsidP="00A82206">
      <w:pPr>
        <w:tabs>
          <w:tab w:val="num" w:pos="709"/>
        </w:tabs>
        <w:spacing w:after="0"/>
        <w:ind w:left="709" w:right="142" w:hanging="425"/>
        <w:jc w:val="both"/>
        <w:rPr>
          <w:rFonts w:ascii="Times New Roman" w:hAnsi="Times New Roman"/>
          <w:b/>
        </w:rPr>
      </w:pPr>
      <w:r w:rsidRPr="0018335D">
        <w:rPr>
          <w:rFonts w:ascii="Times New Roman" w:hAnsi="Times New Roman"/>
          <w:b/>
        </w:rPr>
        <w:t>4. Görev Profili:</w:t>
      </w:r>
    </w:p>
    <w:p w:rsidR="00554D75" w:rsidRPr="0018335D" w:rsidRDefault="00554D75" w:rsidP="00554D75">
      <w:pPr>
        <w:numPr>
          <w:ilvl w:val="1"/>
          <w:numId w:val="12"/>
        </w:numPr>
        <w:tabs>
          <w:tab w:val="clear" w:pos="1260"/>
          <w:tab w:val="left" w:pos="142"/>
          <w:tab w:val="num" w:pos="1134"/>
        </w:tabs>
        <w:spacing w:after="0" w:line="240" w:lineRule="auto"/>
        <w:ind w:left="1134" w:right="142"/>
        <w:jc w:val="both"/>
        <w:rPr>
          <w:rFonts w:ascii="Times New Roman" w:hAnsi="Times New Roman"/>
        </w:rPr>
      </w:pPr>
      <w:r w:rsidRPr="0018335D">
        <w:rPr>
          <w:rFonts w:ascii="Times New Roman" w:hAnsi="Times New Roman"/>
        </w:rPr>
        <w:t xml:space="preserve">19.1.2005 TARİH, 25705 SAYILI RESMİ GAZETE Türkiye Odalar ve Odalar Birliği ile Odalar ve Odalar Organ Seçimleri Hakkında Yönetmeliğin 6. Maddesinde aranan koşullar. </w:t>
      </w:r>
    </w:p>
    <w:p w:rsidR="00554D75" w:rsidRPr="0018335D" w:rsidRDefault="00554D75" w:rsidP="00554D75">
      <w:pPr>
        <w:numPr>
          <w:ilvl w:val="1"/>
          <w:numId w:val="12"/>
        </w:numPr>
        <w:tabs>
          <w:tab w:val="clear" w:pos="1260"/>
          <w:tab w:val="left" w:pos="142"/>
          <w:tab w:val="num" w:pos="1134"/>
        </w:tabs>
        <w:spacing w:after="0" w:line="240" w:lineRule="auto"/>
        <w:ind w:left="1134" w:right="142"/>
        <w:jc w:val="both"/>
        <w:rPr>
          <w:rFonts w:ascii="Times New Roman" w:hAnsi="Times New Roman"/>
        </w:rPr>
      </w:pPr>
      <w:r w:rsidRPr="0018335D">
        <w:rPr>
          <w:rFonts w:ascii="Times New Roman" w:hAnsi="Times New Roman"/>
          <w:iCs/>
        </w:rPr>
        <w:t xml:space="preserve">9.4.2011 tarih, 27900 sayılı Resmi Gazete’de yayınlanan </w:t>
      </w:r>
      <w:r w:rsidRPr="0018335D">
        <w:rPr>
          <w:rFonts w:ascii="Times New Roman" w:hAnsi="Times New Roman"/>
          <w:bCs/>
        </w:rPr>
        <w:t>Türkiye Odalar ve Odalar Birliği ile Odalar ve Odalar Organ Seçimleri Hakkında Yönetmeliğin değiştirilen 6. Maddesinde aranan koşullar.</w:t>
      </w:r>
    </w:p>
    <w:p w:rsidR="000D7751" w:rsidRPr="0018335D" w:rsidRDefault="000D7751" w:rsidP="00554D75">
      <w:pPr>
        <w:tabs>
          <w:tab w:val="num" w:pos="1134"/>
        </w:tabs>
        <w:spacing w:after="0"/>
        <w:ind w:left="993" w:right="142" w:firstLine="567"/>
        <w:jc w:val="both"/>
        <w:rPr>
          <w:rFonts w:ascii="Times New Roman" w:hAnsi="Times New Roman"/>
        </w:rPr>
      </w:pPr>
    </w:p>
    <w:p w:rsidR="000D7751" w:rsidRPr="0018335D" w:rsidRDefault="000D7751" w:rsidP="000D7751">
      <w:pPr>
        <w:tabs>
          <w:tab w:val="num" w:pos="709"/>
        </w:tabs>
        <w:spacing w:after="0"/>
        <w:ind w:left="709" w:right="142" w:hanging="425"/>
        <w:jc w:val="both"/>
        <w:rPr>
          <w:rFonts w:ascii="Times New Roman" w:hAnsi="Times New Roman"/>
          <w:b/>
        </w:rPr>
      </w:pPr>
      <w:r w:rsidRPr="0018335D">
        <w:rPr>
          <w:rFonts w:ascii="Times New Roman" w:hAnsi="Times New Roman"/>
          <w:b/>
        </w:rPr>
        <w:t xml:space="preserve">5. Raporlama: </w:t>
      </w:r>
    </w:p>
    <w:p w:rsidR="000A7382" w:rsidRPr="0018335D" w:rsidRDefault="000A7382" w:rsidP="00A82206">
      <w:pPr>
        <w:tabs>
          <w:tab w:val="num" w:pos="709"/>
        </w:tabs>
        <w:ind w:left="709"/>
        <w:jc w:val="both"/>
        <w:rPr>
          <w:rFonts w:ascii="Times New Roman" w:hAnsi="Times New Roman"/>
        </w:rPr>
      </w:pPr>
      <w:r w:rsidRPr="0018335D">
        <w:rPr>
          <w:rFonts w:ascii="Times New Roman" w:hAnsi="Times New Roman"/>
        </w:rPr>
        <w:t xml:space="preserve">Tüm birimlerden rapor alır. Yönetim Kuruluna haftalık, </w:t>
      </w:r>
      <w:r w:rsidR="00554D75" w:rsidRPr="0018335D">
        <w:rPr>
          <w:rFonts w:ascii="Times New Roman" w:hAnsi="Times New Roman"/>
        </w:rPr>
        <w:t>Oda</w:t>
      </w:r>
      <w:r w:rsidRPr="0018335D">
        <w:rPr>
          <w:rFonts w:ascii="Times New Roman" w:hAnsi="Times New Roman"/>
        </w:rPr>
        <w:t xml:space="preserve"> Meclis Başkanı’na ayda bir rapor verir.</w:t>
      </w:r>
    </w:p>
    <w:p w:rsidR="008C06E4" w:rsidRPr="0018335D" w:rsidRDefault="008C06E4" w:rsidP="00A82206">
      <w:pPr>
        <w:tabs>
          <w:tab w:val="num" w:pos="709"/>
        </w:tabs>
        <w:ind w:left="709"/>
        <w:jc w:val="both"/>
        <w:rPr>
          <w:rFonts w:ascii="Times New Roman" w:hAnsi="Times New Roman"/>
        </w:rPr>
      </w:pPr>
      <w:r w:rsidRPr="0018335D">
        <w:rPr>
          <w:rFonts w:ascii="Times New Roman" w:hAnsi="Times New Roman"/>
        </w:rPr>
        <w:t>REVİZYON TAKİBİ</w:t>
      </w:r>
    </w:p>
    <w:p w:rsidR="008C06E4" w:rsidRPr="0018335D" w:rsidRDefault="008C06E4" w:rsidP="008C06E4">
      <w:pPr>
        <w:numPr>
          <w:ilvl w:val="0"/>
          <w:numId w:val="11"/>
        </w:numPr>
        <w:jc w:val="both"/>
        <w:rPr>
          <w:rFonts w:ascii="Times New Roman" w:hAnsi="Times New Roman"/>
        </w:rPr>
      </w:pPr>
    </w:p>
    <w:sectPr w:rsidR="008C06E4" w:rsidRPr="0018335D" w:rsidSect="00662392">
      <w:headerReference w:type="default" r:id="rId7"/>
      <w:footerReference w:type="default" r:id="rId8"/>
      <w:pgSz w:w="11906" w:h="16838"/>
      <w:pgMar w:top="1004" w:right="707" w:bottom="1417" w:left="1417" w:header="708" w:footer="5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0E" w:rsidRDefault="00CB030E" w:rsidP="00BE75AC">
      <w:pPr>
        <w:spacing w:after="0" w:line="240" w:lineRule="auto"/>
      </w:pPr>
      <w:r>
        <w:separator/>
      </w:r>
    </w:p>
  </w:endnote>
  <w:endnote w:type="continuationSeparator" w:id="1">
    <w:p w:rsidR="00CB030E" w:rsidRDefault="00CB030E" w:rsidP="00BE7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4961"/>
    </w:tblGrid>
    <w:tr w:rsidR="000A7382" w:rsidRPr="00662392" w:rsidTr="00147BBB">
      <w:trPr>
        <w:trHeight w:val="1125"/>
      </w:trPr>
      <w:tc>
        <w:tcPr>
          <w:tcW w:w="4961" w:type="dxa"/>
        </w:tcPr>
        <w:p w:rsidR="000A7382" w:rsidRPr="00662392" w:rsidRDefault="000A7382" w:rsidP="007C749B">
          <w:pPr>
            <w:pStyle w:val="Altbilgi"/>
            <w:jc w:val="center"/>
            <w:rPr>
              <w:rFonts w:ascii="Times New Roman" w:hAnsi="Times New Roman"/>
              <w:b/>
              <w:sz w:val="24"/>
              <w:szCs w:val="24"/>
            </w:rPr>
          </w:pPr>
          <w:r w:rsidRPr="00662392">
            <w:rPr>
              <w:rFonts w:ascii="Times New Roman" w:hAnsi="Times New Roman"/>
              <w:b/>
              <w:sz w:val="24"/>
              <w:szCs w:val="24"/>
            </w:rPr>
            <w:t>Hazırlayan: Genel Sekreter</w:t>
          </w:r>
        </w:p>
      </w:tc>
      <w:tc>
        <w:tcPr>
          <w:tcW w:w="4961" w:type="dxa"/>
        </w:tcPr>
        <w:p w:rsidR="000A7382" w:rsidRPr="00662392" w:rsidRDefault="000A7382" w:rsidP="007C749B">
          <w:pPr>
            <w:pStyle w:val="Altbilgi"/>
            <w:jc w:val="center"/>
            <w:rPr>
              <w:rFonts w:ascii="Times New Roman" w:hAnsi="Times New Roman"/>
              <w:b/>
              <w:sz w:val="24"/>
              <w:szCs w:val="24"/>
            </w:rPr>
          </w:pPr>
          <w:r w:rsidRPr="00662392">
            <w:rPr>
              <w:rFonts w:ascii="Times New Roman" w:hAnsi="Times New Roman"/>
              <w:b/>
              <w:sz w:val="24"/>
              <w:szCs w:val="24"/>
            </w:rPr>
            <w:t>Onaylayan: Yönetim Kurulu Başkanı</w:t>
          </w:r>
        </w:p>
      </w:tc>
    </w:tr>
  </w:tbl>
  <w:p w:rsidR="00BE75AC" w:rsidRPr="000A7382" w:rsidRDefault="00BE75AC" w:rsidP="000A7382">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0E" w:rsidRDefault="00CB030E" w:rsidP="00BE75AC">
      <w:pPr>
        <w:spacing w:after="0" w:line="240" w:lineRule="auto"/>
      </w:pPr>
      <w:r>
        <w:separator/>
      </w:r>
    </w:p>
  </w:footnote>
  <w:footnote w:type="continuationSeparator" w:id="1">
    <w:p w:rsidR="00CB030E" w:rsidRDefault="00CB030E" w:rsidP="00BE7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82" w:rsidRDefault="000A7382" w:rsidP="00BE75AC">
    <w:pPr>
      <w:pStyle w:val="stbilgi"/>
      <w:jc w:val="center"/>
      <w:rPr>
        <w:noProof/>
        <w:lang w:eastAsia="tr-T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3"/>
      <w:gridCol w:w="4934"/>
      <w:gridCol w:w="1559"/>
      <w:gridCol w:w="284"/>
      <w:gridCol w:w="1701"/>
    </w:tblGrid>
    <w:tr w:rsidR="009169DD" w:rsidTr="00B15C14">
      <w:trPr>
        <w:trHeight w:val="336"/>
      </w:trPr>
      <w:tc>
        <w:tcPr>
          <w:tcW w:w="1553" w:type="dxa"/>
          <w:vMerge w:val="restart"/>
          <w:vAlign w:val="center"/>
        </w:tcPr>
        <w:p w:rsidR="009169DD" w:rsidRDefault="00CE61F3" w:rsidP="007C749B">
          <w:pPr>
            <w:pStyle w:val="stbilgi"/>
            <w:jc w:val="center"/>
            <w:rPr>
              <w:noProof/>
              <w:lang w:eastAsia="tr-TR"/>
            </w:rPr>
          </w:pPr>
          <w:r>
            <w:rPr>
              <w:b/>
              <w:noProof/>
              <w:sz w:val="32"/>
              <w:szCs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2.75pt;height:71.25pt;visibility:visible">
                <v:imagedata r:id="rId1" o:title="" cropbottom="-650f" cropright="-45f"/>
                <o:lock v:ext="edit" aspectratio="f"/>
              </v:shape>
            </w:pict>
          </w:r>
        </w:p>
      </w:tc>
      <w:tc>
        <w:tcPr>
          <w:tcW w:w="4934" w:type="dxa"/>
          <w:vMerge w:val="restart"/>
          <w:vAlign w:val="center"/>
        </w:tcPr>
        <w:p w:rsidR="009169DD" w:rsidRDefault="009169DD" w:rsidP="007C749B">
          <w:pPr>
            <w:pStyle w:val="stbilgi"/>
            <w:jc w:val="center"/>
            <w:rPr>
              <w:rFonts w:ascii="Times New Roman" w:hAnsi="Times New Roman"/>
              <w:b/>
              <w:sz w:val="36"/>
              <w:szCs w:val="36"/>
            </w:rPr>
          </w:pPr>
          <w:r w:rsidRPr="00662392">
            <w:rPr>
              <w:rFonts w:ascii="Times New Roman" w:hAnsi="Times New Roman"/>
              <w:b/>
              <w:sz w:val="36"/>
              <w:szCs w:val="36"/>
            </w:rPr>
            <w:t xml:space="preserve">ORGANİZASYON </w:t>
          </w:r>
        </w:p>
        <w:p w:rsidR="009169DD" w:rsidRPr="00662392" w:rsidRDefault="009169DD" w:rsidP="007C749B">
          <w:pPr>
            <w:pStyle w:val="stbilgi"/>
            <w:jc w:val="center"/>
            <w:rPr>
              <w:rFonts w:ascii="Times New Roman" w:hAnsi="Times New Roman"/>
              <w:sz w:val="28"/>
              <w:szCs w:val="28"/>
            </w:rPr>
          </w:pPr>
          <w:r w:rsidRPr="00662392">
            <w:rPr>
              <w:rFonts w:ascii="Times New Roman" w:hAnsi="Times New Roman"/>
              <w:b/>
              <w:sz w:val="36"/>
              <w:szCs w:val="36"/>
            </w:rPr>
            <w:t>EL KİTABI</w:t>
          </w:r>
        </w:p>
      </w:tc>
      <w:tc>
        <w:tcPr>
          <w:tcW w:w="1559" w:type="dxa"/>
          <w:tcBorders>
            <w:right w:val="nil"/>
          </w:tcBorders>
          <w:vAlign w:val="center"/>
        </w:tcPr>
        <w:p w:rsidR="009169DD" w:rsidRPr="00CB0A40" w:rsidRDefault="009169DD" w:rsidP="00662392">
          <w:pPr>
            <w:pStyle w:val="stbilgi"/>
            <w:rPr>
              <w:rFonts w:ascii="Times New Roman" w:hAnsi="Times New Roman"/>
              <w:noProof/>
              <w:sz w:val="24"/>
              <w:szCs w:val="24"/>
              <w:lang w:eastAsia="tr-TR"/>
            </w:rPr>
          </w:pPr>
          <w:r w:rsidRPr="00CB0A40">
            <w:rPr>
              <w:rFonts w:ascii="Times New Roman" w:hAnsi="Times New Roman"/>
              <w:noProof/>
              <w:sz w:val="24"/>
              <w:szCs w:val="24"/>
              <w:lang w:eastAsia="tr-TR"/>
            </w:rPr>
            <w:t>Yayın Tarihi</w:t>
          </w:r>
        </w:p>
      </w:tc>
      <w:tc>
        <w:tcPr>
          <w:tcW w:w="284" w:type="dxa"/>
          <w:tcBorders>
            <w:left w:val="nil"/>
            <w:right w:val="nil"/>
          </w:tcBorders>
          <w:vAlign w:val="center"/>
        </w:tcPr>
        <w:p w:rsidR="009169DD" w:rsidRPr="00CB0A40" w:rsidRDefault="009169DD" w:rsidP="00662392">
          <w:pPr>
            <w:pStyle w:val="stbilgi"/>
            <w:rPr>
              <w:rFonts w:ascii="Times New Roman" w:hAnsi="Times New Roman"/>
              <w:noProof/>
              <w:sz w:val="24"/>
              <w:szCs w:val="24"/>
              <w:lang w:eastAsia="tr-TR"/>
            </w:rPr>
          </w:pPr>
          <w:r w:rsidRPr="00CB0A40">
            <w:rPr>
              <w:rFonts w:ascii="Times New Roman" w:hAnsi="Times New Roman"/>
              <w:noProof/>
              <w:sz w:val="24"/>
              <w:szCs w:val="24"/>
              <w:lang w:eastAsia="tr-TR"/>
            </w:rPr>
            <w:t>:</w:t>
          </w:r>
        </w:p>
      </w:tc>
      <w:tc>
        <w:tcPr>
          <w:tcW w:w="1701" w:type="dxa"/>
          <w:tcBorders>
            <w:left w:val="nil"/>
          </w:tcBorders>
          <w:vAlign w:val="center"/>
        </w:tcPr>
        <w:p w:rsidR="009169DD" w:rsidRPr="00CB0A40" w:rsidRDefault="009169DD" w:rsidP="00970A9D">
          <w:pPr>
            <w:pStyle w:val="stbilgi"/>
            <w:rPr>
              <w:rFonts w:ascii="Times New Roman" w:hAnsi="Times New Roman"/>
            </w:rPr>
          </w:pPr>
          <w:r w:rsidRPr="00CB0A40">
            <w:rPr>
              <w:rFonts w:ascii="Times New Roman" w:hAnsi="Times New Roman"/>
            </w:rPr>
            <w:t>24.02.2011</w:t>
          </w:r>
        </w:p>
      </w:tc>
    </w:tr>
    <w:tr w:rsidR="009169DD" w:rsidTr="00B15C14">
      <w:trPr>
        <w:trHeight w:val="333"/>
      </w:trPr>
      <w:tc>
        <w:tcPr>
          <w:tcW w:w="1553" w:type="dxa"/>
          <w:vMerge/>
          <w:vAlign w:val="center"/>
        </w:tcPr>
        <w:p w:rsidR="009169DD" w:rsidRPr="00735EA9" w:rsidRDefault="009169DD" w:rsidP="007C749B">
          <w:pPr>
            <w:pStyle w:val="stbilgi"/>
            <w:jc w:val="center"/>
            <w:rPr>
              <w:noProof/>
              <w:lang w:eastAsia="tr-TR"/>
            </w:rPr>
          </w:pPr>
        </w:p>
      </w:tc>
      <w:tc>
        <w:tcPr>
          <w:tcW w:w="4934" w:type="dxa"/>
          <w:vMerge/>
          <w:vAlign w:val="center"/>
        </w:tcPr>
        <w:p w:rsidR="009169DD" w:rsidRPr="00662392" w:rsidRDefault="009169DD" w:rsidP="007C749B">
          <w:pPr>
            <w:pStyle w:val="stbilgi"/>
            <w:jc w:val="center"/>
            <w:rPr>
              <w:rFonts w:ascii="Times New Roman" w:hAnsi="Times New Roman"/>
              <w:noProof/>
              <w:lang w:eastAsia="tr-TR"/>
            </w:rPr>
          </w:pPr>
        </w:p>
      </w:tc>
      <w:tc>
        <w:tcPr>
          <w:tcW w:w="1559" w:type="dxa"/>
          <w:tcBorders>
            <w:right w:val="nil"/>
          </w:tcBorders>
          <w:vAlign w:val="center"/>
        </w:tcPr>
        <w:p w:rsidR="009169DD" w:rsidRPr="00CB0A40" w:rsidRDefault="009169DD" w:rsidP="00662392">
          <w:pPr>
            <w:pStyle w:val="stbilgi"/>
            <w:rPr>
              <w:rFonts w:ascii="Times New Roman" w:hAnsi="Times New Roman"/>
              <w:noProof/>
              <w:sz w:val="24"/>
              <w:szCs w:val="24"/>
              <w:lang w:eastAsia="tr-TR"/>
            </w:rPr>
          </w:pPr>
          <w:r w:rsidRPr="00CB0A40">
            <w:rPr>
              <w:rFonts w:ascii="Times New Roman" w:hAnsi="Times New Roman"/>
              <w:noProof/>
              <w:sz w:val="24"/>
              <w:szCs w:val="24"/>
              <w:lang w:eastAsia="tr-TR"/>
            </w:rPr>
            <w:t>Revizyon No</w:t>
          </w:r>
        </w:p>
      </w:tc>
      <w:tc>
        <w:tcPr>
          <w:tcW w:w="284" w:type="dxa"/>
          <w:tcBorders>
            <w:left w:val="nil"/>
            <w:right w:val="nil"/>
          </w:tcBorders>
          <w:vAlign w:val="center"/>
        </w:tcPr>
        <w:p w:rsidR="009169DD" w:rsidRPr="00CB0A40" w:rsidRDefault="009169DD" w:rsidP="00662392">
          <w:pPr>
            <w:pStyle w:val="stbilgi"/>
            <w:rPr>
              <w:rFonts w:ascii="Times New Roman" w:hAnsi="Times New Roman"/>
              <w:noProof/>
              <w:sz w:val="24"/>
              <w:szCs w:val="24"/>
              <w:lang w:eastAsia="tr-TR"/>
            </w:rPr>
          </w:pPr>
          <w:r w:rsidRPr="00CB0A40">
            <w:rPr>
              <w:rFonts w:ascii="Times New Roman" w:hAnsi="Times New Roman"/>
              <w:noProof/>
              <w:sz w:val="24"/>
              <w:szCs w:val="24"/>
              <w:lang w:eastAsia="tr-TR"/>
            </w:rPr>
            <w:t>:</w:t>
          </w:r>
        </w:p>
      </w:tc>
      <w:tc>
        <w:tcPr>
          <w:tcW w:w="1701" w:type="dxa"/>
          <w:tcBorders>
            <w:left w:val="nil"/>
          </w:tcBorders>
          <w:vAlign w:val="center"/>
        </w:tcPr>
        <w:p w:rsidR="009169DD" w:rsidRPr="00CB0A40" w:rsidRDefault="009169DD" w:rsidP="00970A9D">
          <w:pPr>
            <w:pStyle w:val="stbilgi"/>
            <w:rPr>
              <w:rFonts w:ascii="Times New Roman" w:hAnsi="Times New Roman"/>
            </w:rPr>
          </w:pPr>
          <w:r w:rsidRPr="00CB0A40">
            <w:rPr>
              <w:rFonts w:ascii="Times New Roman" w:hAnsi="Times New Roman"/>
            </w:rPr>
            <w:t>00</w:t>
          </w:r>
        </w:p>
      </w:tc>
    </w:tr>
    <w:tr w:rsidR="009169DD" w:rsidTr="00B15C14">
      <w:trPr>
        <w:trHeight w:val="333"/>
      </w:trPr>
      <w:tc>
        <w:tcPr>
          <w:tcW w:w="1553" w:type="dxa"/>
          <w:vMerge/>
          <w:vAlign w:val="center"/>
        </w:tcPr>
        <w:p w:rsidR="009169DD" w:rsidRPr="00735EA9" w:rsidRDefault="009169DD" w:rsidP="007C749B">
          <w:pPr>
            <w:pStyle w:val="stbilgi"/>
            <w:jc w:val="center"/>
            <w:rPr>
              <w:noProof/>
              <w:lang w:eastAsia="tr-TR"/>
            </w:rPr>
          </w:pPr>
        </w:p>
      </w:tc>
      <w:tc>
        <w:tcPr>
          <w:tcW w:w="4934" w:type="dxa"/>
          <w:vMerge/>
          <w:vAlign w:val="center"/>
        </w:tcPr>
        <w:p w:rsidR="009169DD" w:rsidRPr="00662392" w:rsidRDefault="009169DD" w:rsidP="007C749B">
          <w:pPr>
            <w:pStyle w:val="stbilgi"/>
            <w:jc w:val="center"/>
            <w:rPr>
              <w:rFonts w:ascii="Times New Roman" w:hAnsi="Times New Roman"/>
              <w:noProof/>
              <w:lang w:eastAsia="tr-TR"/>
            </w:rPr>
          </w:pPr>
        </w:p>
      </w:tc>
      <w:tc>
        <w:tcPr>
          <w:tcW w:w="1559" w:type="dxa"/>
          <w:tcBorders>
            <w:right w:val="nil"/>
          </w:tcBorders>
          <w:vAlign w:val="center"/>
        </w:tcPr>
        <w:p w:rsidR="009169DD" w:rsidRPr="00CB0A40" w:rsidRDefault="009169DD" w:rsidP="00662392">
          <w:pPr>
            <w:pStyle w:val="stbilgi"/>
            <w:rPr>
              <w:rFonts w:ascii="Times New Roman" w:hAnsi="Times New Roman"/>
              <w:noProof/>
              <w:sz w:val="24"/>
              <w:szCs w:val="24"/>
              <w:lang w:eastAsia="tr-TR"/>
            </w:rPr>
          </w:pPr>
          <w:r w:rsidRPr="00CB0A40">
            <w:rPr>
              <w:rFonts w:ascii="Times New Roman" w:hAnsi="Times New Roman"/>
              <w:noProof/>
              <w:sz w:val="24"/>
              <w:szCs w:val="24"/>
              <w:lang w:eastAsia="tr-TR"/>
            </w:rPr>
            <w:t xml:space="preserve">Referans No </w:t>
          </w:r>
        </w:p>
      </w:tc>
      <w:tc>
        <w:tcPr>
          <w:tcW w:w="284" w:type="dxa"/>
          <w:tcBorders>
            <w:left w:val="nil"/>
            <w:right w:val="nil"/>
          </w:tcBorders>
          <w:vAlign w:val="center"/>
        </w:tcPr>
        <w:p w:rsidR="009169DD" w:rsidRPr="00CB0A40" w:rsidRDefault="009169DD" w:rsidP="00662392">
          <w:pPr>
            <w:pStyle w:val="stbilgi"/>
            <w:rPr>
              <w:rFonts w:ascii="Times New Roman" w:hAnsi="Times New Roman"/>
              <w:noProof/>
              <w:sz w:val="24"/>
              <w:szCs w:val="24"/>
              <w:lang w:eastAsia="tr-TR"/>
            </w:rPr>
          </w:pPr>
          <w:r w:rsidRPr="00CB0A40">
            <w:rPr>
              <w:rFonts w:ascii="Times New Roman" w:hAnsi="Times New Roman"/>
              <w:noProof/>
              <w:sz w:val="24"/>
              <w:szCs w:val="24"/>
              <w:lang w:eastAsia="tr-TR"/>
            </w:rPr>
            <w:t>:</w:t>
          </w:r>
        </w:p>
      </w:tc>
      <w:tc>
        <w:tcPr>
          <w:tcW w:w="1701" w:type="dxa"/>
          <w:tcBorders>
            <w:left w:val="nil"/>
          </w:tcBorders>
          <w:vAlign w:val="center"/>
        </w:tcPr>
        <w:p w:rsidR="009169DD" w:rsidRPr="00CB0A40" w:rsidRDefault="009169DD" w:rsidP="00970A9D">
          <w:pPr>
            <w:pStyle w:val="stbilgi"/>
            <w:rPr>
              <w:rFonts w:ascii="Times New Roman" w:hAnsi="Times New Roman"/>
            </w:rPr>
          </w:pPr>
          <w:r w:rsidRPr="00CB0A40">
            <w:rPr>
              <w:rFonts w:ascii="Times New Roman" w:hAnsi="Times New Roman"/>
            </w:rPr>
            <w:t>STSO.OEK.01</w:t>
          </w:r>
        </w:p>
      </w:tc>
    </w:tr>
    <w:tr w:rsidR="009169DD" w:rsidTr="00B15C14">
      <w:trPr>
        <w:trHeight w:val="333"/>
      </w:trPr>
      <w:tc>
        <w:tcPr>
          <w:tcW w:w="1553" w:type="dxa"/>
          <w:vMerge/>
          <w:vAlign w:val="center"/>
        </w:tcPr>
        <w:p w:rsidR="009169DD" w:rsidRPr="00735EA9" w:rsidRDefault="009169DD" w:rsidP="00662392">
          <w:pPr>
            <w:pStyle w:val="stbilgi"/>
            <w:jc w:val="center"/>
            <w:rPr>
              <w:noProof/>
              <w:lang w:eastAsia="tr-TR"/>
            </w:rPr>
          </w:pPr>
        </w:p>
      </w:tc>
      <w:tc>
        <w:tcPr>
          <w:tcW w:w="4934" w:type="dxa"/>
          <w:vMerge/>
          <w:vAlign w:val="center"/>
        </w:tcPr>
        <w:p w:rsidR="009169DD" w:rsidRPr="00662392" w:rsidRDefault="009169DD" w:rsidP="00662392">
          <w:pPr>
            <w:pStyle w:val="stbilgi"/>
            <w:jc w:val="center"/>
            <w:rPr>
              <w:rFonts w:ascii="Times New Roman" w:hAnsi="Times New Roman"/>
              <w:noProof/>
              <w:lang w:eastAsia="tr-TR"/>
            </w:rPr>
          </w:pPr>
        </w:p>
      </w:tc>
      <w:tc>
        <w:tcPr>
          <w:tcW w:w="1559" w:type="dxa"/>
          <w:tcBorders>
            <w:right w:val="nil"/>
          </w:tcBorders>
          <w:vAlign w:val="center"/>
        </w:tcPr>
        <w:p w:rsidR="009169DD" w:rsidRPr="00CB0A40" w:rsidRDefault="009169DD" w:rsidP="00662392">
          <w:pPr>
            <w:pStyle w:val="stbilgi"/>
            <w:rPr>
              <w:rFonts w:ascii="Times New Roman" w:hAnsi="Times New Roman"/>
              <w:noProof/>
              <w:sz w:val="24"/>
              <w:szCs w:val="24"/>
              <w:lang w:eastAsia="tr-TR"/>
            </w:rPr>
          </w:pPr>
          <w:r w:rsidRPr="00CB0A40">
            <w:rPr>
              <w:rFonts w:ascii="Times New Roman" w:hAnsi="Times New Roman"/>
              <w:noProof/>
              <w:sz w:val="24"/>
              <w:szCs w:val="24"/>
              <w:lang w:eastAsia="tr-TR"/>
            </w:rPr>
            <w:t>Sayfa No</w:t>
          </w:r>
        </w:p>
      </w:tc>
      <w:tc>
        <w:tcPr>
          <w:tcW w:w="284" w:type="dxa"/>
          <w:tcBorders>
            <w:left w:val="nil"/>
            <w:right w:val="nil"/>
          </w:tcBorders>
          <w:vAlign w:val="center"/>
        </w:tcPr>
        <w:p w:rsidR="009169DD" w:rsidRPr="00CB0A40" w:rsidRDefault="009169DD" w:rsidP="00662392">
          <w:pPr>
            <w:pStyle w:val="stbilgi"/>
            <w:rPr>
              <w:rFonts w:ascii="Times New Roman" w:hAnsi="Times New Roman"/>
              <w:noProof/>
              <w:sz w:val="24"/>
              <w:szCs w:val="24"/>
              <w:lang w:eastAsia="tr-TR"/>
            </w:rPr>
          </w:pPr>
          <w:r w:rsidRPr="00CB0A40">
            <w:rPr>
              <w:rFonts w:ascii="Times New Roman" w:hAnsi="Times New Roman"/>
              <w:noProof/>
              <w:sz w:val="24"/>
              <w:szCs w:val="24"/>
              <w:lang w:eastAsia="tr-TR"/>
            </w:rPr>
            <w:t>:</w:t>
          </w:r>
        </w:p>
      </w:tc>
      <w:tc>
        <w:tcPr>
          <w:tcW w:w="1701" w:type="dxa"/>
          <w:tcBorders>
            <w:left w:val="nil"/>
          </w:tcBorders>
          <w:vAlign w:val="center"/>
        </w:tcPr>
        <w:p w:rsidR="009169DD" w:rsidRPr="00CB0A40" w:rsidRDefault="009169DD" w:rsidP="009169DD">
          <w:pPr>
            <w:spacing w:after="0"/>
            <w:rPr>
              <w:rFonts w:ascii="Times New Roman" w:hAnsi="Times New Roman"/>
            </w:rPr>
          </w:pPr>
          <w:r w:rsidRPr="00CB0A40">
            <w:rPr>
              <w:rFonts w:ascii="Times New Roman" w:hAnsi="Times New Roman"/>
            </w:rPr>
            <w:fldChar w:fldCharType="begin"/>
          </w:r>
          <w:r w:rsidRPr="00CB0A40">
            <w:rPr>
              <w:rFonts w:ascii="Times New Roman" w:hAnsi="Times New Roman"/>
            </w:rPr>
            <w:instrText xml:space="preserve"> PAGE </w:instrText>
          </w:r>
          <w:r w:rsidRPr="00CB0A40">
            <w:rPr>
              <w:rFonts w:ascii="Times New Roman" w:hAnsi="Times New Roman"/>
            </w:rPr>
            <w:fldChar w:fldCharType="separate"/>
          </w:r>
          <w:r w:rsidR="009C7054">
            <w:rPr>
              <w:rFonts w:ascii="Times New Roman" w:hAnsi="Times New Roman"/>
              <w:noProof/>
            </w:rPr>
            <w:t>1</w:t>
          </w:r>
          <w:r w:rsidRPr="00CB0A40">
            <w:rPr>
              <w:rFonts w:ascii="Times New Roman" w:hAnsi="Times New Roman"/>
            </w:rPr>
            <w:fldChar w:fldCharType="end"/>
          </w:r>
          <w:r w:rsidRPr="00CB0A40">
            <w:rPr>
              <w:rFonts w:ascii="Times New Roman" w:hAnsi="Times New Roman"/>
            </w:rPr>
            <w:t xml:space="preserve"> / </w:t>
          </w:r>
          <w:r w:rsidRPr="00CB0A40">
            <w:rPr>
              <w:rFonts w:ascii="Times New Roman" w:hAnsi="Times New Roman"/>
            </w:rPr>
            <w:fldChar w:fldCharType="begin"/>
          </w:r>
          <w:r w:rsidRPr="00CB0A40">
            <w:rPr>
              <w:rFonts w:ascii="Times New Roman" w:hAnsi="Times New Roman"/>
            </w:rPr>
            <w:instrText xml:space="preserve"> NUMPAGES  </w:instrText>
          </w:r>
          <w:r w:rsidRPr="00CB0A40">
            <w:rPr>
              <w:rFonts w:ascii="Times New Roman" w:hAnsi="Times New Roman"/>
            </w:rPr>
            <w:fldChar w:fldCharType="separate"/>
          </w:r>
          <w:r w:rsidR="009C7054">
            <w:rPr>
              <w:rFonts w:ascii="Times New Roman" w:hAnsi="Times New Roman"/>
              <w:noProof/>
            </w:rPr>
            <w:t>2</w:t>
          </w:r>
          <w:r w:rsidRPr="00CB0A40">
            <w:rPr>
              <w:rFonts w:ascii="Times New Roman" w:hAnsi="Times New Roman"/>
            </w:rPr>
            <w:fldChar w:fldCharType="end"/>
          </w:r>
        </w:p>
      </w:tc>
    </w:tr>
    <w:tr w:rsidR="00CB55FD" w:rsidTr="003B7A7D">
      <w:trPr>
        <w:trHeight w:val="333"/>
      </w:trPr>
      <w:tc>
        <w:tcPr>
          <w:tcW w:w="10031" w:type="dxa"/>
          <w:gridSpan w:val="5"/>
          <w:vAlign w:val="center"/>
        </w:tcPr>
        <w:p w:rsidR="00CB55FD" w:rsidRPr="00CB55FD" w:rsidRDefault="00CB55FD" w:rsidP="003B7A7D">
          <w:pPr>
            <w:spacing w:after="0"/>
            <w:rPr>
              <w:rFonts w:ascii="Times New Roman" w:hAnsi="Times New Roman"/>
              <w:b/>
              <w:sz w:val="24"/>
              <w:szCs w:val="24"/>
            </w:rPr>
          </w:pPr>
          <w:r>
            <w:rPr>
              <w:rFonts w:ascii="Times New Roman" w:hAnsi="Times New Roman"/>
              <w:b/>
              <w:sz w:val="24"/>
              <w:szCs w:val="24"/>
            </w:rPr>
            <w:t xml:space="preserve">3. </w:t>
          </w:r>
          <w:r w:rsidRPr="0013361A">
            <w:rPr>
              <w:rFonts w:ascii="Times New Roman" w:hAnsi="Times New Roman"/>
              <w:b/>
              <w:sz w:val="24"/>
              <w:szCs w:val="24"/>
            </w:rPr>
            <w:t>YÖNETİM KURULU</w:t>
          </w:r>
        </w:p>
      </w:tc>
    </w:tr>
  </w:tbl>
  <w:p w:rsidR="000A7382" w:rsidRDefault="000A7382" w:rsidP="000A7382">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394"/>
    <w:multiLevelType w:val="hybridMultilevel"/>
    <w:tmpl w:val="52FAAD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5203A8"/>
    <w:multiLevelType w:val="hybridMultilevel"/>
    <w:tmpl w:val="FF446B5A"/>
    <w:lvl w:ilvl="0" w:tplc="936E5012">
      <w:start w:val="1"/>
      <w:numFmt w:val="bullet"/>
      <w:lvlText w:val=""/>
      <w:lvlJc w:val="left"/>
      <w:pPr>
        <w:tabs>
          <w:tab w:val="num" w:pos="0"/>
        </w:tabs>
        <w:ind w:left="0" w:hanging="360"/>
      </w:pPr>
      <w:rPr>
        <w:rFonts w:ascii="Wingdings" w:hAnsi="Wingdings" w:hint="default"/>
      </w:rPr>
    </w:lvl>
    <w:lvl w:ilvl="1" w:tplc="936E5012">
      <w:start w:val="1"/>
      <w:numFmt w:val="bullet"/>
      <w:lvlText w:val=""/>
      <w:lvlJc w:val="left"/>
      <w:pPr>
        <w:tabs>
          <w:tab w:val="num" w:pos="1260"/>
        </w:tabs>
        <w:ind w:left="1260" w:hanging="360"/>
      </w:pPr>
      <w:rPr>
        <w:rFonts w:ascii="Wingdings" w:hAnsi="Wingdings"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
    <w:nsid w:val="0686612C"/>
    <w:multiLevelType w:val="hybridMultilevel"/>
    <w:tmpl w:val="A25C45DA"/>
    <w:lvl w:ilvl="0" w:tplc="936E5012">
      <w:start w:val="1"/>
      <w:numFmt w:val="bullet"/>
      <w:lvlText w:val=""/>
      <w:lvlJc w:val="left"/>
      <w:pPr>
        <w:ind w:left="1352" w:hanging="360"/>
      </w:pPr>
      <w:rPr>
        <w:rFonts w:ascii="Wingdings" w:hAnsi="Wingdings" w:hint="default"/>
      </w:rPr>
    </w:lvl>
    <w:lvl w:ilvl="1" w:tplc="4574F35A">
      <w:start w:val="1"/>
      <w:numFmt w:val="lowerLetter"/>
      <w:lvlText w:val="%2)"/>
      <w:lvlJc w:val="left"/>
      <w:pPr>
        <w:ind w:left="2072" w:hanging="360"/>
      </w:pPr>
      <w:rPr>
        <w:rFonts w:ascii="Times New Roman" w:eastAsia="Calibri" w:hAnsi="Times New Roman" w:cs="Times New Roman"/>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3">
    <w:nsid w:val="283E0B06"/>
    <w:multiLevelType w:val="hybridMultilevel"/>
    <w:tmpl w:val="302C52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BF227C1"/>
    <w:multiLevelType w:val="hybridMultilevel"/>
    <w:tmpl w:val="33EE8A34"/>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5">
    <w:nsid w:val="31AE24C5"/>
    <w:multiLevelType w:val="hybridMultilevel"/>
    <w:tmpl w:val="84F2BD64"/>
    <w:lvl w:ilvl="0" w:tplc="BB2C3076">
      <w:start w:val="1"/>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AC843A4"/>
    <w:multiLevelType w:val="hybridMultilevel"/>
    <w:tmpl w:val="55E8F8A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760DA3"/>
    <w:multiLevelType w:val="hybridMultilevel"/>
    <w:tmpl w:val="D30E3B46"/>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8">
    <w:nsid w:val="5D4F783B"/>
    <w:multiLevelType w:val="hybridMultilevel"/>
    <w:tmpl w:val="B9D83E2A"/>
    <w:lvl w:ilvl="0" w:tplc="936E501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722CDC"/>
    <w:multiLevelType w:val="hybridMultilevel"/>
    <w:tmpl w:val="6A825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A84917"/>
    <w:multiLevelType w:val="hybridMultilevel"/>
    <w:tmpl w:val="5AECA196"/>
    <w:lvl w:ilvl="0" w:tplc="936E5012">
      <w:start w:val="1"/>
      <w:numFmt w:val="bullet"/>
      <w:lvlText w:val=""/>
      <w:lvlJc w:val="left"/>
      <w:pPr>
        <w:tabs>
          <w:tab w:val="num" w:pos="1700"/>
        </w:tabs>
        <w:ind w:left="1700" w:hanging="360"/>
      </w:pPr>
      <w:rPr>
        <w:rFonts w:ascii="Wingdings" w:hAnsi="Wingdings" w:hint="default"/>
      </w:rPr>
    </w:lvl>
    <w:lvl w:ilvl="1" w:tplc="89BC5398">
      <w:numFmt w:val="bullet"/>
      <w:lvlText w:val=""/>
      <w:lvlJc w:val="left"/>
      <w:pPr>
        <w:tabs>
          <w:tab w:val="num" w:pos="2960"/>
        </w:tabs>
        <w:ind w:left="2960" w:hanging="360"/>
      </w:pPr>
      <w:rPr>
        <w:rFonts w:ascii="Symbol" w:eastAsia="Times New Roman" w:hAnsi="Symbol" w:cs="Times New Roman" w:hint="default"/>
      </w:rPr>
    </w:lvl>
    <w:lvl w:ilvl="2" w:tplc="041F0005" w:tentative="1">
      <w:start w:val="1"/>
      <w:numFmt w:val="bullet"/>
      <w:lvlText w:val=""/>
      <w:lvlJc w:val="left"/>
      <w:pPr>
        <w:tabs>
          <w:tab w:val="num" w:pos="3680"/>
        </w:tabs>
        <w:ind w:left="3680" w:hanging="360"/>
      </w:pPr>
      <w:rPr>
        <w:rFonts w:ascii="Wingdings" w:hAnsi="Wingdings" w:hint="default"/>
      </w:rPr>
    </w:lvl>
    <w:lvl w:ilvl="3" w:tplc="041F0001" w:tentative="1">
      <w:start w:val="1"/>
      <w:numFmt w:val="bullet"/>
      <w:lvlText w:val=""/>
      <w:lvlJc w:val="left"/>
      <w:pPr>
        <w:tabs>
          <w:tab w:val="num" w:pos="4400"/>
        </w:tabs>
        <w:ind w:left="4400" w:hanging="360"/>
      </w:pPr>
      <w:rPr>
        <w:rFonts w:ascii="Symbol" w:hAnsi="Symbol" w:hint="default"/>
      </w:rPr>
    </w:lvl>
    <w:lvl w:ilvl="4" w:tplc="041F0003" w:tentative="1">
      <w:start w:val="1"/>
      <w:numFmt w:val="bullet"/>
      <w:lvlText w:val="o"/>
      <w:lvlJc w:val="left"/>
      <w:pPr>
        <w:tabs>
          <w:tab w:val="num" w:pos="5120"/>
        </w:tabs>
        <w:ind w:left="5120" w:hanging="360"/>
      </w:pPr>
      <w:rPr>
        <w:rFonts w:ascii="Courier New" w:hAnsi="Courier New" w:cs="Courier New" w:hint="default"/>
      </w:rPr>
    </w:lvl>
    <w:lvl w:ilvl="5" w:tplc="041F0005" w:tentative="1">
      <w:start w:val="1"/>
      <w:numFmt w:val="bullet"/>
      <w:lvlText w:val=""/>
      <w:lvlJc w:val="left"/>
      <w:pPr>
        <w:tabs>
          <w:tab w:val="num" w:pos="5840"/>
        </w:tabs>
        <w:ind w:left="5840" w:hanging="360"/>
      </w:pPr>
      <w:rPr>
        <w:rFonts w:ascii="Wingdings" w:hAnsi="Wingdings" w:hint="default"/>
      </w:rPr>
    </w:lvl>
    <w:lvl w:ilvl="6" w:tplc="041F0001" w:tentative="1">
      <w:start w:val="1"/>
      <w:numFmt w:val="bullet"/>
      <w:lvlText w:val=""/>
      <w:lvlJc w:val="left"/>
      <w:pPr>
        <w:tabs>
          <w:tab w:val="num" w:pos="6560"/>
        </w:tabs>
        <w:ind w:left="6560" w:hanging="360"/>
      </w:pPr>
      <w:rPr>
        <w:rFonts w:ascii="Symbol" w:hAnsi="Symbol" w:hint="default"/>
      </w:rPr>
    </w:lvl>
    <w:lvl w:ilvl="7" w:tplc="041F0003" w:tentative="1">
      <w:start w:val="1"/>
      <w:numFmt w:val="bullet"/>
      <w:lvlText w:val="o"/>
      <w:lvlJc w:val="left"/>
      <w:pPr>
        <w:tabs>
          <w:tab w:val="num" w:pos="7280"/>
        </w:tabs>
        <w:ind w:left="7280" w:hanging="360"/>
      </w:pPr>
      <w:rPr>
        <w:rFonts w:ascii="Courier New" w:hAnsi="Courier New" w:cs="Courier New" w:hint="default"/>
      </w:rPr>
    </w:lvl>
    <w:lvl w:ilvl="8" w:tplc="041F0005" w:tentative="1">
      <w:start w:val="1"/>
      <w:numFmt w:val="bullet"/>
      <w:lvlText w:val=""/>
      <w:lvlJc w:val="left"/>
      <w:pPr>
        <w:tabs>
          <w:tab w:val="num" w:pos="8000"/>
        </w:tabs>
        <w:ind w:left="8000" w:hanging="360"/>
      </w:pPr>
      <w:rPr>
        <w:rFonts w:ascii="Wingdings" w:hAnsi="Wingdings" w:hint="default"/>
      </w:rPr>
    </w:lvl>
  </w:abstractNum>
  <w:abstractNum w:abstractNumId="11">
    <w:nsid w:val="77EB38D1"/>
    <w:multiLevelType w:val="hybridMultilevel"/>
    <w:tmpl w:val="CEF65AE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C5A583B"/>
    <w:multiLevelType w:val="hybridMultilevel"/>
    <w:tmpl w:val="DED05EFC"/>
    <w:lvl w:ilvl="0" w:tplc="BB0EBF3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9"/>
  </w:num>
  <w:num w:numId="3">
    <w:abstractNumId w:val="5"/>
  </w:num>
  <w:num w:numId="4">
    <w:abstractNumId w:val="10"/>
  </w:num>
  <w:num w:numId="5">
    <w:abstractNumId w:val="6"/>
  </w:num>
  <w:num w:numId="6">
    <w:abstractNumId w:val="3"/>
  </w:num>
  <w:num w:numId="7">
    <w:abstractNumId w:val="4"/>
  </w:num>
  <w:num w:numId="8">
    <w:abstractNumId w:val="11"/>
  </w:num>
  <w:num w:numId="9">
    <w:abstractNumId w:val="7"/>
  </w:num>
  <w:num w:numId="10">
    <w:abstractNumId w:val="2"/>
  </w:num>
  <w:num w:numId="11">
    <w:abstractNumId w:val="1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6F7"/>
    <w:rsid w:val="0000159C"/>
    <w:rsid w:val="00043F6E"/>
    <w:rsid w:val="000646F7"/>
    <w:rsid w:val="000A7382"/>
    <w:rsid w:val="000D7751"/>
    <w:rsid w:val="000E31FB"/>
    <w:rsid w:val="00110EF9"/>
    <w:rsid w:val="0013361A"/>
    <w:rsid w:val="00147BBB"/>
    <w:rsid w:val="001534DD"/>
    <w:rsid w:val="0018335D"/>
    <w:rsid w:val="001D61D6"/>
    <w:rsid w:val="001E6530"/>
    <w:rsid w:val="00220ADB"/>
    <w:rsid w:val="00220F98"/>
    <w:rsid w:val="00235D1A"/>
    <w:rsid w:val="00291EF1"/>
    <w:rsid w:val="002D55EA"/>
    <w:rsid w:val="00303FEA"/>
    <w:rsid w:val="00331E0C"/>
    <w:rsid w:val="00374F4E"/>
    <w:rsid w:val="003B7A7D"/>
    <w:rsid w:val="004804A7"/>
    <w:rsid w:val="004E0929"/>
    <w:rsid w:val="004F6047"/>
    <w:rsid w:val="005031B4"/>
    <w:rsid w:val="00541E0C"/>
    <w:rsid w:val="00554D75"/>
    <w:rsid w:val="00557439"/>
    <w:rsid w:val="0059500E"/>
    <w:rsid w:val="00621554"/>
    <w:rsid w:val="00662392"/>
    <w:rsid w:val="0069569C"/>
    <w:rsid w:val="006F4427"/>
    <w:rsid w:val="00732763"/>
    <w:rsid w:val="007A0BA5"/>
    <w:rsid w:val="007C3E5F"/>
    <w:rsid w:val="007C5D87"/>
    <w:rsid w:val="007C749B"/>
    <w:rsid w:val="00825417"/>
    <w:rsid w:val="008855E6"/>
    <w:rsid w:val="008C06E4"/>
    <w:rsid w:val="00912FCD"/>
    <w:rsid w:val="009169DD"/>
    <w:rsid w:val="00922B1D"/>
    <w:rsid w:val="00945BB8"/>
    <w:rsid w:val="00947B79"/>
    <w:rsid w:val="00970A9D"/>
    <w:rsid w:val="0097284E"/>
    <w:rsid w:val="00985FAF"/>
    <w:rsid w:val="00993E7A"/>
    <w:rsid w:val="009B649D"/>
    <w:rsid w:val="009C7054"/>
    <w:rsid w:val="009D0D6E"/>
    <w:rsid w:val="00A53240"/>
    <w:rsid w:val="00A82206"/>
    <w:rsid w:val="00AF0DB4"/>
    <w:rsid w:val="00B15C14"/>
    <w:rsid w:val="00BA60CE"/>
    <w:rsid w:val="00BE70B6"/>
    <w:rsid w:val="00BE75AC"/>
    <w:rsid w:val="00BF7922"/>
    <w:rsid w:val="00C20465"/>
    <w:rsid w:val="00C30A7B"/>
    <w:rsid w:val="00C46507"/>
    <w:rsid w:val="00C87A8C"/>
    <w:rsid w:val="00CB030E"/>
    <w:rsid w:val="00CB0A40"/>
    <w:rsid w:val="00CB55FD"/>
    <w:rsid w:val="00CE4A49"/>
    <w:rsid w:val="00CE61F3"/>
    <w:rsid w:val="00D20CBA"/>
    <w:rsid w:val="00D6397E"/>
    <w:rsid w:val="00E164A8"/>
    <w:rsid w:val="00E55EBB"/>
    <w:rsid w:val="00E65917"/>
    <w:rsid w:val="00E87F71"/>
    <w:rsid w:val="00EA6858"/>
    <w:rsid w:val="00F0596E"/>
    <w:rsid w:val="00F33C64"/>
    <w:rsid w:val="00F80AFF"/>
    <w:rsid w:val="00F81A5D"/>
    <w:rsid w:val="00FD309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4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46F7"/>
    <w:pPr>
      <w:ind w:left="720"/>
      <w:contextualSpacing/>
    </w:pPr>
  </w:style>
  <w:style w:type="paragraph" w:styleId="stbilgi">
    <w:name w:val="header"/>
    <w:basedOn w:val="Normal"/>
    <w:link w:val="stbilgiChar"/>
    <w:uiPriority w:val="99"/>
    <w:unhideWhenUsed/>
    <w:rsid w:val="00BE7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5AC"/>
  </w:style>
  <w:style w:type="paragraph" w:styleId="Altbilgi">
    <w:name w:val="footer"/>
    <w:basedOn w:val="Normal"/>
    <w:link w:val="AltbilgiChar"/>
    <w:uiPriority w:val="99"/>
    <w:semiHidden/>
    <w:unhideWhenUsed/>
    <w:rsid w:val="00BE7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75AC"/>
  </w:style>
  <w:style w:type="paragraph" w:styleId="BalonMetni">
    <w:name w:val="Balloon Text"/>
    <w:basedOn w:val="Normal"/>
    <w:link w:val="BalonMetniChar"/>
    <w:uiPriority w:val="99"/>
    <w:semiHidden/>
    <w:unhideWhenUsed/>
    <w:rsid w:val="00BE75AC"/>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BE75AC"/>
    <w:rPr>
      <w:rFonts w:ascii="Tahoma" w:hAnsi="Tahoma" w:cs="Tahoma"/>
      <w:sz w:val="16"/>
      <w:szCs w:val="16"/>
    </w:rPr>
  </w:style>
  <w:style w:type="character" w:styleId="Kpr">
    <w:name w:val="Hyperlink"/>
    <w:uiPriority w:val="99"/>
    <w:unhideWhenUsed/>
    <w:rsid w:val="00BE75AC"/>
    <w:rPr>
      <w:color w:val="0000FF"/>
      <w:u w:val="single"/>
    </w:rPr>
  </w:style>
  <w:style w:type="table" w:styleId="TabloKlavuzu">
    <w:name w:val="Table Grid"/>
    <w:basedOn w:val="NormalTablo"/>
    <w:uiPriority w:val="59"/>
    <w:rsid w:val="00993E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Onder.Aydin</dc:creator>
  <cp:lastModifiedBy>Acer</cp:lastModifiedBy>
  <cp:revision>2</cp:revision>
  <cp:lastPrinted>2013-09-27T14:52:00Z</cp:lastPrinted>
  <dcterms:created xsi:type="dcterms:W3CDTF">2013-11-26T16:03:00Z</dcterms:created>
  <dcterms:modified xsi:type="dcterms:W3CDTF">2013-11-26T16:03:00Z</dcterms:modified>
</cp:coreProperties>
</file>